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6" w:rsidRPr="00E73496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73496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E73496" w:rsidRPr="00E73496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E73496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E73496">
        <w:rPr>
          <w:rFonts w:ascii="Times New Roman" w:hAnsi="Times New Roman" w:cs="Times New Roman"/>
          <w:bCs/>
          <w:sz w:val="27"/>
          <w:szCs w:val="27"/>
        </w:rPr>
        <w:t>й</w:t>
      </w:r>
      <w:r w:rsidRPr="00E73496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r w:rsidRPr="00E73496">
        <w:rPr>
          <w:rFonts w:ascii="Times New Roman" w:hAnsi="Times New Roman" w:cs="Times New Roman"/>
          <w:bCs/>
          <w:sz w:val="27"/>
          <w:szCs w:val="27"/>
        </w:rPr>
        <w:t>Мамонтовского</w:t>
      </w:r>
      <w:r w:rsidRPr="00E73496">
        <w:rPr>
          <w:rFonts w:ascii="Times New Roman" w:hAnsi="Times New Roman" w:cs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943E54" w:rsidRPr="00E73496" w:rsidRDefault="00943E54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147FC" w:rsidRPr="00E73496" w:rsidRDefault="00E73496" w:rsidP="00F14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34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30.12.2020</w:t>
      </w:r>
      <w:r w:rsidR="00F147FC" w:rsidRPr="00E734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с. Поспелиха</w:t>
      </w:r>
    </w:p>
    <w:p w:rsidR="00F147FC" w:rsidRPr="00E73496" w:rsidRDefault="00F147FC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73496" w:rsidRPr="00E73496" w:rsidRDefault="00E73496" w:rsidP="00E73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E73496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E73496">
        <w:rPr>
          <w:rFonts w:ascii="Times New Roman" w:hAnsi="Times New Roman" w:cs="Times New Roman"/>
          <w:sz w:val="27"/>
          <w:szCs w:val="27"/>
        </w:rPr>
        <w:t>л</w:t>
      </w:r>
      <w:r w:rsidRPr="00E73496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E73496">
        <w:rPr>
          <w:rFonts w:ascii="Times New Roman" w:hAnsi="Times New Roman" w:cs="Times New Roman"/>
          <w:sz w:val="27"/>
          <w:szCs w:val="27"/>
        </w:rPr>
        <w:t>и</w:t>
      </w:r>
      <w:r w:rsidRPr="00E73496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E73496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E7349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E73496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E73496">
        <w:rPr>
          <w:rFonts w:ascii="Times New Roman" w:hAnsi="Times New Roman" w:cs="Times New Roman"/>
          <w:sz w:val="27"/>
          <w:szCs w:val="27"/>
        </w:rPr>
        <w:t>18.12.2020 № 5</w:t>
      </w:r>
      <w:r w:rsidRPr="00E73496">
        <w:rPr>
          <w:rFonts w:ascii="Times New Roman" w:hAnsi="Times New Roman" w:cs="Times New Roman"/>
          <w:sz w:val="27"/>
          <w:szCs w:val="27"/>
        </w:rPr>
        <w:t>7</w:t>
      </w:r>
      <w:r w:rsidRPr="00E73496">
        <w:rPr>
          <w:rFonts w:ascii="Times New Roman" w:hAnsi="Times New Roman" w:cs="Times New Roman"/>
          <w:sz w:val="27"/>
          <w:szCs w:val="27"/>
        </w:rPr>
        <w:t xml:space="preserve"> </w:t>
      </w:r>
      <w:r w:rsidRPr="00E7349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E73496">
        <w:rPr>
          <w:rFonts w:ascii="Times New Roman" w:hAnsi="Times New Roman" w:cs="Times New Roman"/>
          <w:sz w:val="27"/>
          <w:szCs w:val="27"/>
        </w:rPr>
        <w:t xml:space="preserve">Об 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E73496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E73496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E7349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7349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7349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73496">
        <w:rPr>
          <w:rFonts w:ascii="Times New Roman" w:hAnsi="Times New Roman" w:cs="Times New Roman"/>
          <w:sz w:val="27"/>
          <w:szCs w:val="27"/>
        </w:rPr>
        <w:t>одной стороны, и Администрация Мамонтовского сельсовета, именуемая далее – «А</w:t>
      </w:r>
      <w:r w:rsidRPr="00E73496">
        <w:rPr>
          <w:rFonts w:ascii="Times New Roman" w:hAnsi="Times New Roman" w:cs="Times New Roman"/>
          <w:sz w:val="27"/>
          <w:szCs w:val="27"/>
        </w:rPr>
        <w:t>д</w:t>
      </w:r>
      <w:r w:rsidRPr="00E73496">
        <w:rPr>
          <w:rFonts w:ascii="Times New Roman" w:hAnsi="Times New Roman" w:cs="Times New Roman"/>
          <w:sz w:val="27"/>
          <w:szCs w:val="27"/>
        </w:rPr>
        <w:t>министрация поселения», в лице главы сельсовета Калашниковой Ольги Вале</w:t>
      </w:r>
      <w:r w:rsidRPr="00E73496">
        <w:rPr>
          <w:rFonts w:ascii="Times New Roman" w:hAnsi="Times New Roman" w:cs="Times New Roman"/>
          <w:sz w:val="27"/>
          <w:szCs w:val="27"/>
        </w:rPr>
        <w:t>н</w:t>
      </w:r>
      <w:r w:rsidRPr="00E73496">
        <w:rPr>
          <w:rFonts w:ascii="Times New Roman" w:hAnsi="Times New Roman" w:cs="Times New Roman"/>
          <w:sz w:val="27"/>
          <w:szCs w:val="27"/>
        </w:rPr>
        <w:t xml:space="preserve">тиновны, действующего на основании Устава муниципального образования Мамонтовский сельсовет Поспелихинского района Алтайского края, решения  Мамонтовского сельского Совета депутатов Поспелихинского района от 22.12.2020 № 15 «Об утверждении соглашения </w:t>
      </w:r>
      <w:r w:rsidRPr="00E73496">
        <w:rPr>
          <w:rFonts w:ascii="Times New Roman" w:hAnsi="Times New Roman" w:cs="Times New Roman"/>
          <w:bCs/>
          <w:sz w:val="27"/>
          <w:szCs w:val="27"/>
        </w:rPr>
        <w:t>о принятии Администрацией Поспелихинского района отдельных полномочий в области предоставления м</w:t>
      </w:r>
      <w:r w:rsidRPr="00E73496">
        <w:rPr>
          <w:rFonts w:ascii="Times New Roman" w:hAnsi="Times New Roman" w:cs="Times New Roman"/>
          <w:bCs/>
          <w:sz w:val="27"/>
          <w:szCs w:val="27"/>
        </w:rPr>
        <w:t>у</w:t>
      </w:r>
      <w:r w:rsidRPr="00E73496">
        <w:rPr>
          <w:rFonts w:ascii="Times New Roman" w:hAnsi="Times New Roman" w:cs="Times New Roman"/>
          <w:bCs/>
          <w:sz w:val="27"/>
          <w:szCs w:val="27"/>
        </w:rPr>
        <w:t xml:space="preserve">ниципальных услуг в электронном виде от </w:t>
      </w:r>
      <w:r w:rsidRPr="00E73496">
        <w:rPr>
          <w:rFonts w:ascii="Times New Roman" w:hAnsi="Times New Roman" w:cs="Times New Roman"/>
          <w:sz w:val="27"/>
          <w:szCs w:val="27"/>
        </w:rPr>
        <w:t>Администрации Мамонтовского</w:t>
      </w:r>
      <w:proofErr w:type="gramEnd"/>
      <w:r w:rsidRPr="00E73496">
        <w:rPr>
          <w:rFonts w:ascii="Times New Roman" w:hAnsi="Times New Roman" w:cs="Times New Roman"/>
          <w:sz w:val="27"/>
          <w:szCs w:val="27"/>
        </w:rPr>
        <w:t xml:space="preserve"> сельсовета Поспелихинского района Алтайского края» с другой стороны, со</w:t>
      </w:r>
      <w:r w:rsidRPr="00E73496">
        <w:rPr>
          <w:rFonts w:ascii="Times New Roman" w:hAnsi="Times New Roman" w:cs="Times New Roman"/>
          <w:sz w:val="27"/>
          <w:szCs w:val="27"/>
        </w:rPr>
        <w:t>в</w:t>
      </w:r>
      <w:r w:rsidRPr="00E73496">
        <w:rPr>
          <w:rFonts w:ascii="Times New Roman" w:hAnsi="Times New Roman" w:cs="Times New Roman"/>
          <w:sz w:val="27"/>
          <w:szCs w:val="27"/>
        </w:rPr>
        <w:t>местно именуемые «Стороны», заключили настоящее соглашение (далее - С</w:t>
      </w:r>
      <w:r w:rsidRPr="00E73496">
        <w:rPr>
          <w:rFonts w:ascii="Times New Roman" w:hAnsi="Times New Roman" w:cs="Times New Roman"/>
          <w:sz w:val="27"/>
          <w:szCs w:val="27"/>
        </w:rPr>
        <w:t>о</w:t>
      </w:r>
      <w:r w:rsidRPr="00E73496">
        <w:rPr>
          <w:rFonts w:ascii="Times New Roman" w:hAnsi="Times New Roman" w:cs="Times New Roman"/>
          <w:sz w:val="27"/>
          <w:szCs w:val="27"/>
        </w:rPr>
        <w:t>глашение) о нижеследующем.</w:t>
      </w:r>
    </w:p>
    <w:p w:rsidR="00E73496" w:rsidRPr="00E73496" w:rsidRDefault="00E73496" w:rsidP="00E7349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45ABC" w:rsidRPr="00E73496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</w:t>
      </w:r>
      <w:r w:rsidRPr="00E73496">
        <w:rPr>
          <w:rFonts w:ascii="Times New Roman" w:eastAsia="Calibri" w:hAnsi="Times New Roman" w:cs="Times New Roman"/>
          <w:bCs/>
          <w:color w:val="000080"/>
          <w:sz w:val="27"/>
          <w:szCs w:val="27"/>
          <w:lang w:eastAsia="ru-RU"/>
        </w:rPr>
        <w:t>.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E7349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 Ф</w:t>
      </w:r>
      <w:r w:rsidRPr="00E7349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именно; </w:t>
      </w:r>
    </w:p>
    <w:p w:rsidR="00281CD4" w:rsidRPr="00E73496" w:rsidRDefault="00281CD4" w:rsidP="0028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1" w:name="sub_2002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281CD4" w:rsidRPr="00E73496" w:rsidRDefault="00281CD4" w:rsidP="0028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281CD4" w:rsidRPr="00E73496" w:rsidRDefault="00281CD4" w:rsidP="0028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281CD4" w:rsidRPr="00E73496" w:rsidRDefault="00281CD4" w:rsidP="00281CD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281CD4" w:rsidRPr="00E73496" w:rsidRDefault="00281CD4" w:rsidP="00281CD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ципальных услуг;</w:t>
      </w:r>
    </w:p>
    <w:p w:rsidR="00281CD4" w:rsidRPr="00E73496" w:rsidRDefault="00281CD4" w:rsidP="00281CD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945ABC" w:rsidRPr="00E73496" w:rsidRDefault="00945ABC" w:rsidP="0094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1.2. </w:t>
      </w:r>
      <w:proofErr w:type="gramStart"/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E73496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F147FC" w:rsidRPr="00E73496" w:rsidRDefault="00F147F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945ABC" w:rsidRPr="00E73496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Права и обязанности сторон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20021"/>
      <w:bookmarkEnd w:id="1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 </w:t>
      </w:r>
      <w:bookmarkEnd w:id="2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Администрация района обязуется: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вета, собственного мнения; </w:t>
      </w:r>
    </w:p>
    <w:p w:rsidR="00945ABC" w:rsidRPr="00E73496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E73496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. Осуществлять межведомственное  взаимодействие в эле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к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945ABC" w:rsidRPr="00E73496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E73496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ром.</w:t>
      </w:r>
    </w:p>
    <w:p w:rsidR="00945ABC" w:rsidRPr="00E73496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E7349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945ABC" w:rsidRPr="00E73496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E73496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Обеспечивать 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945ABC" w:rsidRPr="00E73496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E73496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. Устранять нарушения федеральных законов, законов Алта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й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вета, собственного мнения.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ы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ми  нормативно-правовыми актами.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gramStart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2.3.2. Обеспечивать 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2.3.</w:t>
      </w:r>
      <w:r w:rsid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73496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 Обеспечивать выполнение требований нормативно правовых актов в рамках межведомственного взаимодействия;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</w:t>
      </w:r>
      <w:r w:rsidR="00E7349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.Перечислять в районный бюджет финансовые средства в виде межбюджетных трансфертов из бюджета Администрации Мамонтовского сел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совета.</w:t>
      </w:r>
    </w:p>
    <w:p w:rsidR="00F147FC" w:rsidRPr="00E73496" w:rsidRDefault="00F147F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3" w:name="sub_2005"/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д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лено в размере 500 (пятьсот) рублей в месяц.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E73496">
        <w:rPr>
          <w:rFonts w:ascii="Times New Roman" w:eastAsia="Times New Roman" w:hAnsi="Times New Roman" w:cs="Times New Roman"/>
          <w:sz w:val="27"/>
          <w:szCs w:val="27"/>
          <w:lang w:eastAsia="ar-SA"/>
        </w:rPr>
        <w:t>ченных сумм.</w:t>
      </w:r>
    </w:p>
    <w:p w:rsidR="00945ABC" w:rsidRPr="00E73496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ar-SA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F147FC" w:rsidRPr="00E73496" w:rsidRDefault="00F147F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945ABC" w:rsidRPr="00E73496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глашения</w:t>
      </w:r>
    </w:p>
    <w:bookmarkEnd w:id="3"/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не достижения</w:t>
      </w:r>
      <w:proofErr w:type="gramEnd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4.2.1.По соглашению Сторон;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4.2.2.В одностороннем порядке: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с даты  направления</w:t>
      </w:r>
      <w:proofErr w:type="gramEnd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указанного уведомления.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F147FC" w:rsidRPr="00E73496" w:rsidRDefault="00F147F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4" w:name="sub_2007"/>
    </w:p>
    <w:p w:rsidR="00945ABC" w:rsidRPr="00E73496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Заключительные положения</w:t>
      </w:r>
    </w:p>
    <w:bookmarkEnd w:id="4"/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5" w:name="sub_20072"/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5"/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каждый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оследующий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од,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сли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и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дна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з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аявит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ругой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тороне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ведомления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один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есяц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стечения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соответств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ующего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рока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с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воём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го </w:t>
      </w:r>
      <w:r w:rsidRPr="00E7349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E73496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>ействие.</w:t>
      </w:r>
    </w:p>
    <w:p w:rsidR="00945ABC" w:rsidRPr="00E73496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945ABC" w:rsidRPr="00E73496" w:rsidRDefault="00945ABC" w:rsidP="00945ABC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3496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73496" w:rsidRDefault="00E73496" w:rsidP="0094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43E54" w:rsidRPr="00E73496" w:rsidRDefault="00943E54" w:rsidP="0094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_GoBack"/>
      <w:bookmarkEnd w:id="6"/>
      <w:r w:rsidRPr="00E73496">
        <w:rPr>
          <w:rFonts w:ascii="Times New Roman" w:eastAsia="Times New Roman" w:hAnsi="Times New Roman" w:cs="Times New Roman"/>
          <w:sz w:val="27"/>
          <w:szCs w:val="27"/>
        </w:rPr>
        <w:t>6. Платежные реквизиты сторон</w:t>
      </w:r>
    </w:p>
    <w:tbl>
      <w:tblPr>
        <w:tblW w:w="9630" w:type="dxa"/>
        <w:tblLook w:val="00A0" w:firstRow="1" w:lastRow="0" w:firstColumn="1" w:lastColumn="0" w:noHBand="0" w:noVBand="0"/>
      </w:tblPr>
      <w:tblGrid>
        <w:gridCol w:w="4731"/>
        <w:gridCol w:w="4899"/>
      </w:tblGrid>
      <w:tr w:rsidR="00943E54" w:rsidRPr="00E73496" w:rsidTr="00680EB1">
        <w:trPr>
          <w:trHeight w:val="312"/>
        </w:trPr>
        <w:tc>
          <w:tcPr>
            <w:tcW w:w="4731" w:type="dxa"/>
          </w:tcPr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99" w:type="dxa"/>
          </w:tcPr>
          <w:p w:rsidR="00943E54" w:rsidRPr="00E73496" w:rsidRDefault="00943E54" w:rsidP="00943E5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943E54" w:rsidRPr="00E73496" w:rsidTr="00680EB1">
        <w:trPr>
          <w:trHeight w:val="7697"/>
        </w:trPr>
        <w:tc>
          <w:tcPr>
            <w:tcW w:w="4731" w:type="dxa"/>
          </w:tcPr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659700, Алтайский край, 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Поспелихинский район,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Поспелиха, 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Коммунистическая,7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01634000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вой и кредитной политике Админ</w:t>
            </w: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страции Поспелихинского района А</w:t>
            </w: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тайского края)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2265002046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КБК 09220240014050000150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района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И.А. Башмаков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899" w:type="dxa"/>
          </w:tcPr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gramStart"/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Мамонтовского</w:t>
            </w:r>
            <w:proofErr w:type="gramEnd"/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Алтайского края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659708, Алтайский край,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Поспелихинский район, 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п. им. Мамонтова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ул. Лермонтова, 14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01634467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Получатель: </w:t>
            </w:r>
            <w:proofErr w:type="gramStart"/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УФК по Алтайскому краю (Администрация Мамонтовского </w:t>
            </w:r>
            <w:proofErr w:type="gramEnd"/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Алтайского края)</w:t>
            </w:r>
            <w:proofErr w:type="gramEnd"/>
          </w:p>
          <w:p w:rsidR="00943E54" w:rsidRPr="00E73496" w:rsidRDefault="00943E54" w:rsidP="009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2265001839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КПП 226501001 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О.В. Калашникова</w:t>
            </w:r>
          </w:p>
          <w:p w:rsidR="00943E54" w:rsidRPr="00E73496" w:rsidRDefault="00943E54" w:rsidP="00943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73496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5A635F" w:rsidRPr="00E73496" w:rsidRDefault="005A635F">
      <w:pPr>
        <w:rPr>
          <w:rFonts w:ascii="Times New Roman" w:hAnsi="Times New Roman" w:cs="Times New Roman"/>
          <w:sz w:val="27"/>
          <w:szCs w:val="27"/>
        </w:rPr>
      </w:pPr>
    </w:p>
    <w:sectPr w:rsidR="005A635F" w:rsidRPr="00E7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7"/>
    <w:rsid w:val="00281CD4"/>
    <w:rsid w:val="004D3CFE"/>
    <w:rsid w:val="00544677"/>
    <w:rsid w:val="005A635F"/>
    <w:rsid w:val="007C7E75"/>
    <w:rsid w:val="00943E54"/>
    <w:rsid w:val="00945ABC"/>
    <w:rsid w:val="00E73496"/>
    <w:rsid w:val="00F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dcterms:created xsi:type="dcterms:W3CDTF">2021-01-08T05:40:00Z</dcterms:created>
  <dcterms:modified xsi:type="dcterms:W3CDTF">2021-01-08T05:40:00Z</dcterms:modified>
</cp:coreProperties>
</file>